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3A7DA8" w:rsidP="003A7D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A7DA8" w:rsidRDefault="003A7DA8" w:rsidP="003A7D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A7DA8" w:rsidRDefault="003A7DA8" w:rsidP="003A7D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65619" w:rsidRDefault="00E65619" w:rsidP="00E65619">
      <w:pPr>
        <w:tabs>
          <w:tab w:val="left" w:pos="3735"/>
        </w:tabs>
        <w:spacing w:line="480" w:lineRule="auto"/>
        <w:rPr>
          <w:rFonts w:ascii="Times New Roman" w:hAnsi="Times New Roman" w:cs="Times New Roman"/>
          <w:sz w:val="24"/>
          <w:szCs w:val="24"/>
        </w:rPr>
      </w:pPr>
      <w:r>
        <w:rPr>
          <w:rFonts w:ascii="Times New Roman" w:hAnsi="Times New Roman" w:cs="Times New Roman"/>
          <w:sz w:val="24"/>
          <w:szCs w:val="24"/>
        </w:rPr>
        <w:t xml:space="preserve">                                                 Legal Expenses Recoupment</w:t>
      </w:r>
    </w:p>
    <w:p w:rsidR="00E65619" w:rsidRDefault="00E65619" w:rsidP="003A7DA8">
      <w:pPr>
        <w:tabs>
          <w:tab w:val="left" w:pos="3135"/>
          <w:tab w:val="left" w:pos="415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7DA8">
        <w:rPr>
          <w:rFonts w:ascii="Times New Roman" w:hAnsi="Times New Roman" w:cs="Times New Roman"/>
          <w:sz w:val="24"/>
          <w:szCs w:val="24"/>
        </w:rPr>
        <w:t xml:space="preserve">                               </w:t>
      </w: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5D473B">
      <w:pPr>
        <w:spacing w:line="480" w:lineRule="auto"/>
        <w:rPr>
          <w:rFonts w:ascii="Times New Roman" w:hAnsi="Times New Roman" w:cs="Times New Roman"/>
          <w:sz w:val="24"/>
          <w:szCs w:val="24"/>
        </w:rPr>
      </w:pPr>
    </w:p>
    <w:p w:rsidR="00E65619" w:rsidRDefault="00E65619" w:rsidP="00E65619">
      <w:pPr>
        <w:tabs>
          <w:tab w:val="left" w:pos="2070"/>
        </w:tabs>
        <w:spacing w:line="480" w:lineRule="auto"/>
        <w:rPr>
          <w:rFonts w:ascii="Times New Roman" w:hAnsi="Times New Roman" w:cs="Times New Roman"/>
          <w:sz w:val="24"/>
          <w:szCs w:val="24"/>
        </w:rPr>
      </w:pPr>
    </w:p>
    <w:p w:rsidR="006A752B" w:rsidRPr="006A752B" w:rsidRDefault="006A752B" w:rsidP="006A752B">
      <w:pPr>
        <w:spacing w:line="480" w:lineRule="auto"/>
        <w:ind w:firstLine="720"/>
        <w:rPr>
          <w:rFonts w:ascii="Times New Roman" w:hAnsi="Times New Roman" w:cs="Times New Roman"/>
          <w:sz w:val="24"/>
          <w:szCs w:val="24"/>
        </w:rPr>
      </w:pPr>
      <w:r w:rsidRPr="006A752B">
        <w:rPr>
          <w:rFonts w:ascii="Times New Roman" w:hAnsi="Times New Roman" w:cs="Times New Roman"/>
          <w:sz w:val="24"/>
          <w:szCs w:val="24"/>
        </w:rPr>
        <w:lastRenderedPageBreak/>
        <w:t>Free legal representation offered to a defendant who is not financially able to pay for one is arguably the noblest thing the court can do for a defendant in the quest to offer them an opportunity of a free and fair trial. However, not letting them know that they could possibly be charged for it later, is not as kind. In a few cases, defendants are offered free attorneys to represent them as it is their constitutional right then told that is liable for the costs encountered by the court, which they were required to settle later on. This is however not the case for others where they get represented without the knowledge that they will be required to pay, then months or years later, the court asks them to pay through the process of recoupment.</w:t>
      </w:r>
    </w:p>
    <w:p w:rsidR="006A752B" w:rsidRPr="006A752B" w:rsidRDefault="006A752B" w:rsidP="006A752B">
      <w:pPr>
        <w:spacing w:line="480" w:lineRule="auto"/>
        <w:ind w:firstLine="720"/>
        <w:rPr>
          <w:rFonts w:ascii="Times New Roman" w:hAnsi="Times New Roman" w:cs="Times New Roman"/>
          <w:sz w:val="24"/>
          <w:szCs w:val="24"/>
        </w:rPr>
      </w:pPr>
      <w:r w:rsidRPr="006A752B">
        <w:rPr>
          <w:rFonts w:ascii="Times New Roman" w:hAnsi="Times New Roman" w:cs="Times New Roman"/>
          <w:sz w:val="24"/>
          <w:szCs w:val="24"/>
        </w:rPr>
        <w:t>Th</w:t>
      </w:r>
      <w:r>
        <w:rPr>
          <w:rFonts w:ascii="Times New Roman" w:hAnsi="Times New Roman" w:cs="Times New Roman"/>
          <w:sz w:val="24"/>
          <w:szCs w:val="24"/>
        </w:rPr>
        <w:t>e</w:t>
      </w:r>
      <w:r w:rsidRPr="006A752B">
        <w:rPr>
          <w:rFonts w:ascii="Times New Roman" w:hAnsi="Times New Roman" w:cs="Times New Roman"/>
          <w:sz w:val="24"/>
          <w:szCs w:val="24"/>
        </w:rPr>
        <w:t xml:space="preserve"> process has proven to be effective in getting back some of the taxpayer money spent on indigent defense services as States have recently spent a lot of money on this and it is expected that they would try getting some of it back. After a defendant’s case is done and their lives become better, it is only right that they pay back the taxpayers money used on their attorney. It is important for the court to be able to determine that a defendant is able to settle the costs incurred before asking them to pay. The Senate Bill 527 by Sen. Brian Birdwell puts this into consideration as well as other factors like extending the period at which recoupment could possibly happen and that the defendant’s financial status could possibly get better over time meaning this bill protects the interests of both the taxpayer and the defendant.</w:t>
      </w:r>
    </w:p>
    <w:p w:rsidR="00AA517F" w:rsidRDefault="006A752B" w:rsidP="006A752B">
      <w:pPr>
        <w:spacing w:line="480" w:lineRule="auto"/>
        <w:ind w:firstLine="720"/>
        <w:rPr>
          <w:rFonts w:ascii="Times New Roman" w:hAnsi="Times New Roman" w:cs="Times New Roman"/>
          <w:sz w:val="24"/>
          <w:szCs w:val="24"/>
        </w:rPr>
      </w:pPr>
      <w:r w:rsidRPr="006A752B">
        <w:rPr>
          <w:rFonts w:ascii="Times New Roman" w:hAnsi="Times New Roman" w:cs="Times New Roman"/>
          <w:sz w:val="24"/>
          <w:szCs w:val="24"/>
        </w:rPr>
        <w:t>It is, therefore, a sound policy to have defendants settle their indigent fee once they are able to. Informing the defendants that they may be required to do this later, will also make it easier for the courts to recover the taxpayer’s money as well as keep the defendant aware and ready for future charges.</w:t>
      </w:r>
    </w:p>
    <w:p w:rsidR="003A7DA8" w:rsidRDefault="003A7DA8" w:rsidP="003A7DA8">
      <w:pPr>
        <w:spacing w:line="480" w:lineRule="auto"/>
        <w:rPr>
          <w:rFonts w:ascii="Times New Roman" w:hAnsi="Times New Roman" w:cs="Times New Roman"/>
          <w:sz w:val="24"/>
          <w:szCs w:val="24"/>
        </w:rPr>
      </w:pPr>
    </w:p>
    <w:p w:rsidR="003A7DA8" w:rsidRDefault="003A7DA8" w:rsidP="003A7DA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3A7DA8" w:rsidRPr="00FA4E5D" w:rsidRDefault="003A7DA8" w:rsidP="003A7DA8">
      <w:pPr>
        <w:spacing w:line="480" w:lineRule="auto"/>
        <w:rPr>
          <w:rFonts w:ascii="Times New Roman" w:hAnsi="Times New Roman" w:cs="Times New Roman"/>
          <w:sz w:val="24"/>
          <w:szCs w:val="24"/>
        </w:rPr>
      </w:pPr>
      <w:r w:rsidRPr="003A7DA8">
        <w:rPr>
          <w:rFonts w:ascii="Times New Roman" w:hAnsi="Times New Roman" w:cs="Times New Roman"/>
          <w:sz w:val="24"/>
          <w:szCs w:val="24"/>
        </w:rPr>
        <w:t>https://www.texastribune.org/2017/11/14/texas-court-appointed-lawyers-arent-always-free/</w:t>
      </w:r>
    </w:p>
    <w:sectPr w:rsidR="003A7DA8" w:rsidRPr="00FA4E5D" w:rsidSect="003A7DA8">
      <w:headerReference w:type="default" r:id="rId6"/>
      <w:headerReference w:type="first" r:id="rId7"/>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377" w:rsidRDefault="00FD6377" w:rsidP="00E65619">
      <w:pPr>
        <w:spacing w:after="0" w:line="240" w:lineRule="auto"/>
      </w:pPr>
      <w:r>
        <w:separator/>
      </w:r>
    </w:p>
  </w:endnote>
  <w:endnote w:type="continuationSeparator" w:id="0">
    <w:p w:rsidR="00FD6377" w:rsidRDefault="00FD6377" w:rsidP="00E65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377" w:rsidRDefault="00FD6377" w:rsidP="00E65619">
      <w:pPr>
        <w:spacing w:after="0" w:line="240" w:lineRule="auto"/>
      </w:pPr>
      <w:r>
        <w:separator/>
      </w:r>
    </w:p>
  </w:footnote>
  <w:footnote w:type="continuationSeparator" w:id="0">
    <w:p w:rsidR="00FD6377" w:rsidRDefault="00FD6377" w:rsidP="00E65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DA8" w:rsidRPr="003A7DA8" w:rsidRDefault="003A7DA8">
    <w:pPr>
      <w:pStyle w:val="Header"/>
      <w:jc w:val="right"/>
      <w:rPr>
        <w:rFonts w:ascii="Times New Roman" w:hAnsi="Times New Roman" w:cs="Times New Roman"/>
        <w:sz w:val="24"/>
        <w:szCs w:val="24"/>
      </w:rPr>
    </w:pPr>
    <w:r w:rsidRPr="003A7DA8">
      <w:rPr>
        <w:rFonts w:ascii="Times New Roman" w:hAnsi="Times New Roman" w:cs="Times New Roman"/>
        <w:sz w:val="24"/>
        <w:szCs w:val="24"/>
      </w:rPr>
      <w:t>POLITICAL SCIENCE</w:t>
    </w:r>
    <w:r w:rsidRPr="003A7DA8">
      <w:rPr>
        <w:rFonts w:ascii="Times New Roman" w:hAnsi="Times New Roman" w:cs="Times New Roman"/>
        <w:sz w:val="24"/>
        <w:szCs w:val="24"/>
      </w:rPr>
      <w:tab/>
    </w:r>
    <w:r w:rsidRPr="003A7DA8">
      <w:rPr>
        <w:rFonts w:ascii="Times New Roman" w:hAnsi="Times New Roman" w:cs="Times New Roman"/>
        <w:sz w:val="24"/>
        <w:szCs w:val="24"/>
      </w:rPr>
      <w:tab/>
    </w:r>
    <w:sdt>
      <w:sdtPr>
        <w:rPr>
          <w:rFonts w:ascii="Times New Roman" w:hAnsi="Times New Roman" w:cs="Times New Roman"/>
          <w:sz w:val="24"/>
          <w:szCs w:val="24"/>
        </w:rPr>
        <w:id w:val="2041009214"/>
        <w:docPartObj>
          <w:docPartGallery w:val="Page Numbers (Top of Page)"/>
          <w:docPartUnique/>
        </w:docPartObj>
      </w:sdtPr>
      <w:sdtEndPr>
        <w:rPr>
          <w:noProof/>
        </w:rPr>
      </w:sdtEndPr>
      <w:sdtContent>
        <w:r w:rsidRPr="003A7DA8">
          <w:rPr>
            <w:rFonts w:ascii="Times New Roman" w:hAnsi="Times New Roman" w:cs="Times New Roman"/>
            <w:sz w:val="24"/>
            <w:szCs w:val="24"/>
          </w:rPr>
          <w:fldChar w:fldCharType="begin"/>
        </w:r>
        <w:r w:rsidRPr="003A7DA8">
          <w:rPr>
            <w:rFonts w:ascii="Times New Roman" w:hAnsi="Times New Roman" w:cs="Times New Roman"/>
            <w:sz w:val="24"/>
            <w:szCs w:val="24"/>
          </w:rPr>
          <w:instrText xml:space="preserve"> PAGE   \* MERGEFORMAT </w:instrText>
        </w:r>
        <w:r w:rsidRPr="003A7DA8">
          <w:rPr>
            <w:rFonts w:ascii="Times New Roman" w:hAnsi="Times New Roman" w:cs="Times New Roman"/>
            <w:sz w:val="24"/>
            <w:szCs w:val="24"/>
          </w:rPr>
          <w:fldChar w:fldCharType="separate"/>
        </w:r>
        <w:r>
          <w:rPr>
            <w:rFonts w:ascii="Times New Roman" w:hAnsi="Times New Roman" w:cs="Times New Roman"/>
            <w:noProof/>
            <w:sz w:val="24"/>
            <w:szCs w:val="24"/>
          </w:rPr>
          <w:t>3</w:t>
        </w:r>
        <w:r w:rsidRPr="003A7DA8">
          <w:rPr>
            <w:rFonts w:ascii="Times New Roman" w:hAnsi="Times New Roman" w:cs="Times New Roman"/>
            <w:noProof/>
            <w:sz w:val="24"/>
            <w:szCs w:val="24"/>
          </w:rPr>
          <w:fldChar w:fldCharType="end"/>
        </w:r>
      </w:sdtContent>
    </w:sdt>
  </w:p>
  <w:p w:rsidR="00E65619" w:rsidRPr="003A7DA8" w:rsidRDefault="00E65619" w:rsidP="00E65619">
    <w:pPr>
      <w:pStyle w:val="Header"/>
      <w:tabs>
        <w:tab w:val="left" w:pos="300"/>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DA8" w:rsidRPr="003A7DA8" w:rsidRDefault="003A7DA8">
    <w:pPr>
      <w:pStyle w:val="Header"/>
      <w:jc w:val="right"/>
      <w:rPr>
        <w:rFonts w:ascii="Times New Roman" w:hAnsi="Times New Roman" w:cs="Times New Roman"/>
        <w:sz w:val="24"/>
        <w:szCs w:val="24"/>
      </w:rPr>
    </w:pPr>
    <w:r w:rsidRPr="003A7DA8">
      <w:rPr>
        <w:rFonts w:ascii="Times New Roman" w:hAnsi="Times New Roman" w:cs="Times New Roman"/>
        <w:sz w:val="24"/>
        <w:szCs w:val="24"/>
      </w:rPr>
      <w:t>Running Head: POLITICAL SCIENCE</w:t>
    </w:r>
    <w:r w:rsidRPr="003A7DA8">
      <w:rPr>
        <w:rFonts w:ascii="Times New Roman" w:hAnsi="Times New Roman" w:cs="Times New Roman"/>
        <w:sz w:val="24"/>
        <w:szCs w:val="24"/>
      </w:rPr>
      <w:tab/>
    </w:r>
    <w:r w:rsidRPr="003A7DA8">
      <w:rPr>
        <w:rFonts w:ascii="Times New Roman" w:hAnsi="Times New Roman" w:cs="Times New Roman"/>
        <w:sz w:val="24"/>
        <w:szCs w:val="24"/>
      </w:rPr>
      <w:tab/>
    </w:r>
    <w:sdt>
      <w:sdtPr>
        <w:rPr>
          <w:rFonts w:ascii="Times New Roman" w:hAnsi="Times New Roman" w:cs="Times New Roman"/>
          <w:sz w:val="24"/>
          <w:szCs w:val="24"/>
        </w:rPr>
        <w:id w:val="-954946470"/>
        <w:docPartObj>
          <w:docPartGallery w:val="Page Numbers (Top of Page)"/>
          <w:docPartUnique/>
        </w:docPartObj>
      </w:sdtPr>
      <w:sdtEndPr>
        <w:rPr>
          <w:noProof/>
        </w:rPr>
      </w:sdtEndPr>
      <w:sdtContent>
        <w:r w:rsidRPr="003A7DA8">
          <w:rPr>
            <w:rFonts w:ascii="Times New Roman" w:hAnsi="Times New Roman" w:cs="Times New Roman"/>
            <w:sz w:val="24"/>
            <w:szCs w:val="24"/>
          </w:rPr>
          <w:fldChar w:fldCharType="begin"/>
        </w:r>
        <w:r w:rsidRPr="003A7DA8">
          <w:rPr>
            <w:rFonts w:ascii="Times New Roman" w:hAnsi="Times New Roman" w:cs="Times New Roman"/>
            <w:sz w:val="24"/>
            <w:szCs w:val="24"/>
          </w:rPr>
          <w:instrText xml:space="preserve"> PAGE   \* MERGEFORMAT </w:instrText>
        </w:r>
        <w:r w:rsidRPr="003A7DA8">
          <w:rPr>
            <w:rFonts w:ascii="Times New Roman" w:hAnsi="Times New Roman" w:cs="Times New Roman"/>
            <w:sz w:val="24"/>
            <w:szCs w:val="24"/>
          </w:rPr>
          <w:fldChar w:fldCharType="separate"/>
        </w:r>
        <w:r>
          <w:rPr>
            <w:rFonts w:ascii="Times New Roman" w:hAnsi="Times New Roman" w:cs="Times New Roman"/>
            <w:noProof/>
            <w:sz w:val="24"/>
            <w:szCs w:val="24"/>
          </w:rPr>
          <w:t>1</w:t>
        </w:r>
        <w:r w:rsidRPr="003A7DA8">
          <w:rPr>
            <w:rFonts w:ascii="Times New Roman" w:hAnsi="Times New Roman" w:cs="Times New Roman"/>
            <w:noProof/>
            <w:sz w:val="24"/>
            <w:szCs w:val="24"/>
          </w:rPr>
          <w:fldChar w:fldCharType="end"/>
        </w:r>
      </w:sdtContent>
    </w:sdt>
  </w:p>
  <w:p w:rsidR="003A7DA8" w:rsidRPr="003A7DA8" w:rsidRDefault="003A7DA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5D"/>
    <w:rsid w:val="001B649B"/>
    <w:rsid w:val="003A7DA8"/>
    <w:rsid w:val="00411C9D"/>
    <w:rsid w:val="00437F38"/>
    <w:rsid w:val="005D473B"/>
    <w:rsid w:val="006A752B"/>
    <w:rsid w:val="007B26FB"/>
    <w:rsid w:val="007F2202"/>
    <w:rsid w:val="00AA517F"/>
    <w:rsid w:val="00AB4723"/>
    <w:rsid w:val="00BC45D5"/>
    <w:rsid w:val="00E65619"/>
    <w:rsid w:val="00FA4E5D"/>
    <w:rsid w:val="00FD6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2E69B-6EA9-4F90-B09A-6E7AC193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619"/>
  </w:style>
  <w:style w:type="paragraph" w:styleId="Footer">
    <w:name w:val="footer"/>
    <w:basedOn w:val="Normal"/>
    <w:link w:val="FooterChar"/>
    <w:uiPriority w:val="99"/>
    <w:unhideWhenUsed/>
    <w:rsid w:val="00E65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samuel kibe</cp:lastModifiedBy>
  <cp:revision>2</cp:revision>
  <dcterms:created xsi:type="dcterms:W3CDTF">2019-05-02T16:31:00Z</dcterms:created>
  <dcterms:modified xsi:type="dcterms:W3CDTF">2019-05-02T16:31:00Z</dcterms:modified>
</cp:coreProperties>
</file>